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C3" w:rsidRPr="00796666" w:rsidRDefault="006458C3" w:rsidP="006458C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bookmarkStart w:id="0" w:name="_GoBack"/>
      <w:bookmarkEnd w:id="0"/>
      <w:r w:rsidRPr="0079666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Бюджет проекту</w:t>
      </w:r>
    </w:p>
    <w:p w:rsidR="006458C3" w:rsidRPr="00796666" w:rsidRDefault="006458C3" w:rsidP="006458C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4470"/>
        <w:gridCol w:w="1701"/>
        <w:gridCol w:w="1390"/>
        <w:gridCol w:w="1409"/>
      </w:tblGrid>
      <w:tr w:rsidR="006458C3" w:rsidRPr="00796666" w:rsidTr="00222B4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Ціна за одиницю, грн.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796666" w:rsidRDefault="006458C3" w:rsidP="00222B4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Вартість,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тис. </w:t>
            </w: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грн.</w:t>
            </w:r>
          </w:p>
        </w:tc>
      </w:tr>
      <w:tr w:rsidR="007F3768" w:rsidRPr="006458C3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FF5095" w:rsidRDefault="007F3768" w:rsidP="00861493">
            <w:pPr>
              <w:rPr>
                <w:sz w:val="28"/>
                <w:szCs w:val="28"/>
              </w:rPr>
            </w:pPr>
            <w:r w:rsidRPr="00FF5095">
              <w:rPr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5A3282" w:rsidP="00861493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7F3768">
                <w:rPr>
                  <w:rStyle w:val="a3"/>
                </w:rPr>
                <w:t>Сонячна батарея ABi-Solar P60270-D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C74E60" w:rsidRDefault="00C74E60" w:rsidP="00C74E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5550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A06043" w:rsidRDefault="00C74E60" w:rsidP="009A5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</w:t>
            </w:r>
            <w:r w:rsidR="009A542D">
              <w:rPr>
                <w:sz w:val="28"/>
                <w:szCs w:val="28"/>
                <w:lang w:val="uk-UA"/>
              </w:rPr>
              <w:t>,70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796666" w:rsidRDefault="007F3768" w:rsidP="0086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5A3282" w:rsidP="00861493">
            <w:pPr>
              <w:rPr>
                <w:sz w:val="28"/>
                <w:szCs w:val="28"/>
                <w:lang w:val="uk-UA"/>
              </w:rPr>
            </w:pPr>
            <w:hyperlink r:id="rId6" w:history="1">
              <w:r w:rsidR="007F3768">
                <w:rPr>
                  <w:rStyle w:val="a3"/>
                </w:rPr>
                <w:t>Мережевий інвертор ABB TRIO-12.5-TL-OUTD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C74E60" w:rsidRDefault="00C74E60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A06043" w:rsidRDefault="00C74E60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542D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3768" w:rsidRPr="00EC344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796666" w:rsidRDefault="007F3768" w:rsidP="0086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t>Конектори MC4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730FDF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730FDF" w:rsidRDefault="00C74E60" w:rsidP="00C74E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C74E60" w:rsidP="009A5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A542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="009A542D">
              <w:rPr>
                <w:sz w:val="28"/>
                <w:szCs w:val="28"/>
                <w:lang w:val="uk-UA"/>
              </w:rPr>
              <w:t>5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796666" w:rsidRDefault="007F3768" w:rsidP="0086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D77775" w:rsidRDefault="007F3768" w:rsidP="00861493">
            <w:pPr>
              <w:rPr>
                <w:sz w:val="28"/>
                <w:szCs w:val="28"/>
                <w:lang w:val="ru-RU"/>
              </w:rPr>
            </w:pPr>
            <w:r>
              <w:t>Автоматика захисту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D77775" w:rsidRDefault="007F3768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D77775" w:rsidRDefault="00C74E60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6458C3" w:rsidRDefault="00C74E60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A542D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0810B2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ru-RU"/>
              </w:rPr>
            </w:pPr>
            <w:r>
              <w:t>Кабель постійного струму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 метрів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C74E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9A5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A542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9A542D">
              <w:rPr>
                <w:sz w:val="28"/>
                <w:szCs w:val="28"/>
                <w:lang w:val="uk-UA"/>
              </w:rPr>
              <w:t>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r>
              <w:t>Кабель змінного струму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метрів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C74E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9A542D" w:rsidP="009A54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r>
              <w:t>Кріплення сонячних батарей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A542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  <w:r w:rsidR="009A542D">
              <w:rPr>
                <w:sz w:val="28"/>
                <w:szCs w:val="28"/>
                <w:lang w:val="uk-UA"/>
              </w:rPr>
              <w:t>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7F3768" w:rsidRDefault="007F3768" w:rsidP="00861493">
            <w:pPr>
              <w:rPr>
                <w:lang w:val="uk-UA"/>
              </w:rPr>
            </w:pPr>
            <w:r>
              <w:rPr>
                <w:lang w:val="uk-UA"/>
              </w:rPr>
              <w:t>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A542D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C74E60" w:rsidRDefault="00C74E60" w:rsidP="00861493">
            <w:pPr>
              <w:rPr>
                <w:lang w:val="uk-UA"/>
              </w:rPr>
            </w:pPr>
            <w:r>
              <w:rPr>
                <w:lang w:val="uk-UA"/>
              </w:rPr>
              <w:t>Доставка на об’єкт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C74E60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A542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  <w:r w:rsidR="009A542D">
              <w:rPr>
                <w:sz w:val="28"/>
                <w:szCs w:val="28"/>
                <w:lang w:val="uk-UA"/>
              </w:rPr>
              <w:t>0</w:t>
            </w:r>
          </w:p>
        </w:tc>
      </w:tr>
      <w:tr w:rsidR="007F376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Pr="00F304E7" w:rsidRDefault="00F304E7" w:rsidP="00861493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7F3768" w:rsidP="00861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768" w:rsidRDefault="00F304E7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299,95</w:t>
            </w:r>
          </w:p>
        </w:tc>
      </w:tr>
      <w:tr w:rsidR="00FF6D28" w:rsidRPr="00796666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D28" w:rsidRDefault="00FF6D28" w:rsidP="008614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D28" w:rsidRDefault="00FF6D28" w:rsidP="00861493">
            <w:pPr>
              <w:rPr>
                <w:lang w:val="uk-UA"/>
              </w:rPr>
            </w:pPr>
            <w:r>
              <w:rPr>
                <w:lang w:val="uk-UA"/>
              </w:rPr>
              <w:t>70 %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D28" w:rsidRDefault="00FF6D28" w:rsidP="00861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D28" w:rsidRDefault="00FF6D28" w:rsidP="0086149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D28" w:rsidRDefault="00FF6D28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209,9</w:t>
            </w:r>
          </w:p>
        </w:tc>
      </w:tr>
      <w:tr w:rsidR="00F304E7" w:rsidRPr="00FF6D28" w:rsidTr="004F1A5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4E7" w:rsidRDefault="00F304E7" w:rsidP="008614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4E7" w:rsidRDefault="00F304E7" w:rsidP="008614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здійснюється наступним чином :</w:t>
            </w:r>
          </w:p>
          <w:p w:rsidR="00FF6D28" w:rsidRDefault="00F304E7" w:rsidP="00FF6D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міського бюджету фінансується 70% (209,9тис. грн.) вартості проекту шляхом перерахування коштів ОСББ. Після отримання коштів ОСББ оформлює кредит  по урядовій програмі «теплі кредити» на суму 299,95 грн. на закупівлю сонячної електростанції.</w:t>
            </w:r>
            <w:r w:rsidR="00FF6D28">
              <w:rPr>
                <w:sz w:val="28"/>
                <w:szCs w:val="28"/>
                <w:lang w:val="uk-UA"/>
              </w:rPr>
              <w:t xml:space="preserve"> Відтак, вимога Положення про співфінансування дотримується. З бюджету виділяється лише 70 відсотків вартості проекту, решту коштів сплачує ОСББ шляхом залучення підтримки держави.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304E7" w:rsidRDefault="00F304E7" w:rsidP="00861493">
            <w:pPr>
              <w:rPr>
                <w:sz w:val="28"/>
                <w:szCs w:val="28"/>
                <w:lang w:val="uk-UA"/>
              </w:rPr>
            </w:pPr>
          </w:p>
        </w:tc>
      </w:tr>
      <w:tr w:rsidR="006458C3" w:rsidRPr="00FF6D28" w:rsidTr="00222B4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FF6D28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FF6D28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FF6D28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8C3" w:rsidRPr="00FF6D28" w:rsidRDefault="006458C3" w:rsidP="00222B4B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C3" w:rsidRPr="001F39A3" w:rsidRDefault="006458C3" w:rsidP="00222B4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458C3" w:rsidRPr="00FF6D28" w:rsidRDefault="006458C3" w:rsidP="006458C3">
      <w:pPr>
        <w:rPr>
          <w:lang w:val="uk-UA"/>
        </w:rPr>
      </w:pPr>
    </w:p>
    <w:p w:rsidR="00E26201" w:rsidRPr="00FF6D28" w:rsidRDefault="00E26201">
      <w:pPr>
        <w:rPr>
          <w:lang w:val="uk-UA"/>
        </w:rPr>
      </w:pPr>
    </w:p>
    <w:sectPr w:rsidR="00E26201" w:rsidRPr="00FF6D28" w:rsidSect="0094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8C3"/>
    <w:rsid w:val="000810B2"/>
    <w:rsid w:val="001B32B2"/>
    <w:rsid w:val="005826E4"/>
    <w:rsid w:val="005A3282"/>
    <w:rsid w:val="006458C3"/>
    <w:rsid w:val="007F3768"/>
    <w:rsid w:val="009A3927"/>
    <w:rsid w:val="009A542D"/>
    <w:rsid w:val="009C7475"/>
    <w:rsid w:val="00B74FEF"/>
    <w:rsid w:val="00B8747F"/>
    <w:rsid w:val="00C74E60"/>
    <w:rsid w:val="00E26201"/>
    <w:rsid w:val="00EC3446"/>
    <w:rsid w:val="00F304E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8C3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6458C3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582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enerhiia.ua/merezhevi-invertori/merezhevij-invertor-abb-trio-12-5-tl-outd.html" TargetMode="External"/><Relationship Id="rId5" Type="http://schemas.openxmlformats.org/officeDocument/2006/relationships/hyperlink" Target="https://ecoenerhiia.ua/sonjachni-batarei/sonjachna-batareja-abi-solar-p60270-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</cp:lastModifiedBy>
  <cp:revision>2</cp:revision>
  <dcterms:created xsi:type="dcterms:W3CDTF">2017-11-03T07:14:00Z</dcterms:created>
  <dcterms:modified xsi:type="dcterms:W3CDTF">2017-11-03T07:14:00Z</dcterms:modified>
</cp:coreProperties>
</file>